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C7" w:rsidRPr="00FE79C7" w:rsidRDefault="00FE79C7" w:rsidP="00FE79C7">
      <w:pPr>
        <w:pStyle w:val="a3"/>
        <w:shd w:val="clear" w:color="auto" w:fill="FFFFFF"/>
        <w:jc w:val="both"/>
        <w:rPr>
          <w:rFonts w:ascii="Arial" w:hAnsi="Arial" w:cs="Arial"/>
          <w:b/>
          <w:color w:val="333333"/>
          <w:sz w:val="22"/>
          <w:szCs w:val="22"/>
        </w:rPr>
      </w:pPr>
      <w:bookmarkStart w:id="0" w:name="_GoBack"/>
      <w:r w:rsidRPr="00FE79C7">
        <w:rPr>
          <w:rFonts w:ascii="Arial" w:hAnsi="Arial" w:cs="Arial"/>
          <w:b/>
          <w:color w:val="333333"/>
          <w:sz w:val="22"/>
          <w:szCs w:val="22"/>
        </w:rPr>
        <w:t>Контрольные мероприятия</w:t>
      </w:r>
    </w:p>
    <w:bookmarkEnd w:id="0"/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  <w:t>1</w:t>
      </w:r>
      <w:r>
        <w:rPr>
          <w:rStyle w:val="a4"/>
          <w:rFonts w:ascii="Arial" w:hAnsi="Arial" w:cs="Arial"/>
          <w:color w:val="333333"/>
          <w:sz w:val="22"/>
          <w:szCs w:val="22"/>
        </w:rPr>
        <w:t>. Территориальный орган Федеральной службы по надзору в сфере здравоохранения по Воронежской области</w:t>
      </w:r>
    </w:p>
    <w:p w:rsidR="00FE79C7" w:rsidRP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 w:rsidRPr="00FE79C7">
        <w:rPr>
          <w:b/>
          <w:bCs/>
        </w:rPr>
        <w:t>План</w:t>
      </w:r>
      <w:r>
        <w:rPr>
          <w:rFonts w:ascii="Arial" w:hAnsi="Arial" w:cs="Arial"/>
          <w:color w:val="333333"/>
          <w:sz w:val="22"/>
          <w:szCs w:val="22"/>
        </w:rPr>
        <w:t>: 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Государственный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надзорв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сфере обращения лекарственных средств; государственный контроль за обращением медицинских изделий; государственный контроль качества лекарственных средств; контроль за уничтожением лекарственных средств; мониторинг безопасности лекарственных средств, находящихся в обращении на территории РФ; мониторинг безопасности медицинских изделий; контроль за соблюдением прав граждан в сфере граждан в сфере охраны здоровья; контроль за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прменением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порядков оказания медицинской помощи;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применением стандартов медицинской помощи; контроль за соблюдением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деятельности; контроль за организацией 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осуществленем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внутреннего контроля качества и безопасности медицинской деятельности; контроль за достоверностью первичных статистических данных,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предостовляемых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медицинскими организациями; контроль в сфере охраны здоровья граждан от воздействия окружающего табачного дыма и последствий потребления табака.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E79C7">
        <w:rPr>
          <w:b/>
          <w:bCs/>
        </w:rPr>
        <w:t>Период проведения</w:t>
      </w:r>
      <w:r>
        <w:rPr>
          <w:rFonts w:ascii="Arial" w:hAnsi="Arial" w:cs="Arial"/>
          <w:color w:val="333333"/>
          <w:sz w:val="22"/>
          <w:szCs w:val="22"/>
        </w:rPr>
        <w:t>: 01.11.2016 - 01.11.2016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E79C7">
        <w:rPr>
          <w:rFonts w:ascii="Arial" w:hAnsi="Arial" w:cs="Arial"/>
          <w:color w:val="333333"/>
          <w:sz w:val="22"/>
          <w:szCs w:val="22"/>
        </w:rPr>
        <w:t>Нарушения не выявлены</w:t>
      </w:r>
      <w:r>
        <w:rPr>
          <w:rFonts w:ascii="Arial" w:hAnsi="Arial" w:cs="Arial"/>
          <w:color w:val="333333"/>
          <w:sz w:val="22"/>
          <w:szCs w:val="22"/>
        </w:rPr>
        <w:t>-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FE79C7">
        <w:rPr>
          <w:b/>
          <w:bCs/>
        </w:rPr>
        <w:t xml:space="preserve">2. Управление </w:t>
      </w:r>
      <w:proofErr w:type="spellStart"/>
      <w:r w:rsidRPr="00FE79C7">
        <w:rPr>
          <w:b/>
          <w:bCs/>
        </w:rPr>
        <w:t>Роспотребнадзора</w:t>
      </w:r>
      <w:proofErr w:type="spellEnd"/>
      <w:r w:rsidRPr="00FE79C7">
        <w:rPr>
          <w:b/>
          <w:bCs/>
        </w:rPr>
        <w:t xml:space="preserve"> по Воронежской области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FE79C7">
        <w:rPr>
          <w:b/>
          <w:bCs/>
        </w:rPr>
        <w:t>План:</w:t>
      </w:r>
      <w:r>
        <w:rPr>
          <w:rFonts w:ascii="Arial" w:hAnsi="Arial" w:cs="Arial"/>
          <w:color w:val="333333"/>
          <w:sz w:val="22"/>
          <w:szCs w:val="22"/>
        </w:rPr>
        <w:t> Соблюдение обязательных требований нормативных правовых актов РФ в сфере защиты прав потребителей, санитарно-эпидемиологического благополучия человека и законодательства о техническом регулировании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  <w:t> </w:t>
      </w:r>
      <w:r w:rsidRPr="00FE79C7">
        <w:rPr>
          <w:b/>
          <w:bCs/>
        </w:rPr>
        <w:t>Период проведения</w:t>
      </w:r>
      <w:r>
        <w:rPr>
          <w:rFonts w:ascii="Arial" w:hAnsi="Arial" w:cs="Arial"/>
          <w:color w:val="333333"/>
          <w:sz w:val="22"/>
          <w:szCs w:val="22"/>
        </w:rPr>
        <w:t>10.11.2016 - 14.11.2016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 w:rsidRPr="00FE79C7">
        <w:rPr>
          <w:b/>
          <w:bCs/>
        </w:rPr>
        <w:t>Выявленные нарушения: </w:t>
      </w:r>
      <w:r>
        <w:rPr>
          <w:rFonts w:ascii="Arial" w:hAnsi="Arial" w:cs="Arial"/>
          <w:color w:val="333333"/>
          <w:sz w:val="22"/>
          <w:szCs w:val="22"/>
        </w:rPr>
        <w:t>Отсутствие теневого навеса на территории игровых площадок, в весенний период не проведена полная смена песка на игровых площадках, не обеспечена комплектация групп детей с учетом возраста детей и подростков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</w:t>
      </w:r>
      <w:proofErr w:type="gramEnd"/>
      <w:r>
        <w:rPr>
          <w:rFonts w:ascii="Arial" w:hAnsi="Arial" w:cs="Arial"/>
          <w:color w:val="333333"/>
          <w:sz w:val="22"/>
          <w:szCs w:val="22"/>
        </w:rPr>
        <w:t>роки устранения до 01.04.2017 г.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 w:rsidRPr="00FE79C7">
        <w:rPr>
          <w:b/>
          <w:bCs/>
        </w:rPr>
        <w:t>Мероприятия:</w:t>
      </w:r>
      <w:r>
        <w:rPr>
          <w:rFonts w:ascii="Arial" w:hAnsi="Arial" w:cs="Arial"/>
          <w:color w:val="333333"/>
          <w:sz w:val="22"/>
          <w:szCs w:val="22"/>
        </w:rPr>
        <w:t> Проведена замена песка в песочницах на игровых площадках</w:t>
      </w:r>
      <w:r>
        <w:rPr>
          <w:rFonts w:ascii="Arial" w:hAnsi="Arial" w:cs="Arial"/>
          <w:color w:val="333333"/>
          <w:sz w:val="22"/>
          <w:szCs w:val="22"/>
        </w:rPr>
        <w:br/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FE79C7">
        <w:rPr>
          <w:rFonts w:ascii="Arial" w:hAnsi="Arial" w:cs="Arial"/>
          <w:b/>
          <w:color w:val="333333"/>
          <w:sz w:val="22"/>
          <w:szCs w:val="22"/>
        </w:rPr>
        <w:t>3. Контрольно-счетная палата Воронежской области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E79C7">
        <w:rPr>
          <w:rFonts w:ascii="Arial" w:hAnsi="Arial" w:cs="Arial"/>
          <w:b/>
          <w:color w:val="333333"/>
          <w:sz w:val="22"/>
          <w:szCs w:val="22"/>
        </w:rPr>
        <w:br/>
      </w:r>
      <w:r w:rsidRPr="00FE79C7">
        <w:rPr>
          <w:rFonts w:ascii="Arial" w:hAnsi="Arial" w:cs="Arial"/>
          <w:b/>
          <w:color w:val="333333"/>
          <w:sz w:val="22"/>
          <w:szCs w:val="22"/>
        </w:rPr>
        <w:t>План</w:t>
      </w:r>
      <w:r w:rsidRPr="00FE79C7">
        <w:rPr>
          <w:rFonts w:ascii="Arial" w:hAnsi="Arial" w:cs="Arial"/>
          <w:b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> Проверка законности и результативности использования средств, выделенных из областного бюджета в рамках государственной программы Воронежской области "Социальная поддержка граждан" и иных источников в 2015 году и текущем периоде 2016 года реабилитацию детей в социально-реабилитационных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подведомственных департаменту социальной защиты Воронежской области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 w:rsidRPr="00FE79C7">
        <w:rPr>
          <w:b/>
          <w:bCs/>
        </w:rPr>
        <w:t>Период проведения </w:t>
      </w:r>
      <w:r>
        <w:rPr>
          <w:rFonts w:ascii="Arial" w:hAnsi="Arial" w:cs="Arial"/>
          <w:color w:val="333333"/>
          <w:sz w:val="22"/>
          <w:szCs w:val="22"/>
        </w:rPr>
        <w:t>31.10.2016 - 02.12.2016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 w:rsidRPr="00FE79C7">
        <w:rPr>
          <w:b/>
          <w:bCs/>
        </w:rPr>
        <w:t>Выявленные нарушения:</w:t>
      </w:r>
      <w:r>
        <w:rPr>
          <w:rFonts w:ascii="Arial" w:hAnsi="Arial" w:cs="Arial"/>
          <w:color w:val="333333"/>
          <w:sz w:val="22"/>
          <w:szCs w:val="22"/>
        </w:rPr>
        <w:t> 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На балансе учреждения находится неиспользуемое имущество; Имущество, полученное на безвозмездной основе от физических лиц отражено в бюджетном учете с нарушениями приказа Минфина России от 06.12.2010 №162 н; Осуществляются неэффективные расходы на уплату земельного налога за земельный участок, занятый сторонним юридическим лицом; Штатное расписание не соответствует штатной численности, утвержденной постановлением Правительства </w:t>
      </w:r>
      <w:r>
        <w:rPr>
          <w:rFonts w:ascii="Arial" w:hAnsi="Arial" w:cs="Arial"/>
          <w:color w:val="333333"/>
          <w:sz w:val="22"/>
          <w:szCs w:val="22"/>
        </w:rPr>
        <w:lastRenderedPageBreak/>
        <w:t>Воронежской области от 12.12.2014 №1159;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Не соблюдаются требования ч.1 ст.9 402-ФЗ от 06.12.2011 г., ст.91 ТК РФ; Не соблюдаются требования ч.1 ст.161 и ст.582 ГК РФ; Не соответствует оборудование автомобиля требованиям п.3 Постановления Правительства РФ от 17.12.2013 №1177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 w:rsidRPr="00FE79C7">
        <w:rPr>
          <w:b/>
          <w:bCs/>
        </w:rPr>
        <w:t>Мероприятия:</w:t>
      </w:r>
      <w:r>
        <w:rPr>
          <w:rFonts w:ascii="Arial" w:hAnsi="Arial" w:cs="Arial"/>
          <w:color w:val="333333"/>
          <w:sz w:val="22"/>
          <w:szCs w:val="22"/>
        </w:rPr>
        <w:t xml:space="preserve"> Имущество, неиспользуемое для нужд учреждения включено в реестр непрофильного имущества и направлено в ДИЗО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ВО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для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дальнейшего рассмотрения. Бюджетный учет имущества, полученного безвозмездно от физических лиц, приведен в соответствие с требованиями Приказа Минфина России о 06.12.2010 т №162н. ДИЗО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ВО ведутся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работы по разделу земельного участка областного уровня собственности. Департаментом социальной защиты Воронежской области направлен в Правительство Воронежской области проект изменений вносимых в постановление № 1159 от 12.12.2014. Учет рабочего времени приведен в соответствие с ч.1 ст.9 402-ФЗ от 06.12.2011 г., ст.91 ТК РФ.</w:t>
      </w:r>
      <w:r>
        <w:rPr>
          <w:rFonts w:ascii="Arial" w:hAnsi="Arial" w:cs="Arial"/>
          <w:color w:val="333333"/>
          <w:sz w:val="22"/>
          <w:szCs w:val="22"/>
        </w:rPr>
        <w:br/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a4"/>
          <w:rFonts w:ascii="Arial" w:hAnsi="Arial" w:cs="Arial"/>
          <w:color w:val="333333"/>
          <w:sz w:val="22"/>
          <w:szCs w:val="22"/>
        </w:rPr>
        <w:t>4.Государственная инспекция труда в Воронежской области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a4"/>
          <w:rFonts w:ascii="Arial" w:hAnsi="Arial" w:cs="Arial"/>
          <w:color w:val="333333"/>
          <w:sz w:val="22"/>
          <w:szCs w:val="22"/>
        </w:rPr>
        <w:t>План: </w:t>
      </w:r>
      <w:r>
        <w:rPr>
          <w:rFonts w:ascii="Arial" w:hAnsi="Arial" w:cs="Arial"/>
          <w:color w:val="333333"/>
          <w:sz w:val="22"/>
          <w:szCs w:val="22"/>
        </w:rPr>
        <w:t xml:space="preserve">Соблюдение обязательных требований или требований установленных муниципальными правовыми актами. Обеспечение соблюдения 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защиты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трудовых прав и свобод граждан, включая право на безопасные условия труда, обеспечение соблюдения работодателем трудового законодательства и иных нормативных правовых актов, содержащих нормы трудового законодательства.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a4"/>
          <w:rFonts w:ascii="Arial" w:hAnsi="Arial" w:cs="Arial"/>
          <w:color w:val="333333"/>
          <w:sz w:val="22"/>
          <w:szCs w:val="22"/>
        </w:rPr>
        <w:t>Период проведения</w:t>
      </w:r>
      <w:r>
        <w:rPr>
          <w:rFonts w:ascii="Arial" w:hAnsi="Arial" w:cs="Arial"/>
          <w:color w:val="333333"/>
          <w:sz w:val="22"/>
          <w:szCs w:val="22"/>
        </w:rPr>
        <w:t> 24.11.2016 - 30.11.2016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  <w:t>Нарушения не выявлены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a4"/>
          <w:rFonts w:ascii="Arial" w:hAnsi="Arial" w:cs="Arial"/>
          <w:color w:val="333333"/>
          <w:sz w:val="22"/>
          <w:szCs w:val="22"/>
        </w:rPr>
        <w:t xml:space="preserve">5.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 Управление надзорной деятельности и профилактической работы Отдел надзорной деятельности и профилактической работы по </w:t>
      </w:r>
      <w:proofErr w:type="gramStart"/>
      <w:r>
        <w:rPr>
          <w:rStyle w:val="a4"/>
          <w:rFonts w:ascii="Arial" w:hAnsi="Arial" w:cs="Arial"/>
          <w:color w:val="333333"/>
          <w:sz w:val="22"/>
          <w:szCs w:val="22"/>
        </w:rPr>
        <w:t>Аннинскому</w:t>
      </w:r>
      <w:proofErr w:type="gramEnd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и </w:t>
      </w:r>
      <w:proofErr w:type="spellStart"/>
      <w:r>
        <w:rPr>
          <w:rStyle w:val="a4"/>
          <w:rFonts w:ascii="Arial" w:hAnsi="Arial" w:cs="Arial"/>
          <w:color w:val="333333"/>
          <w:sz w:val="22"/>
          <w:szCs w:val="22"/>
        </w:rPr>
        <w:t>Эртильскому</w:t>
      </w:r>
      <w:proofErr w:type="spellEnd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районам Воронежской области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a4"/>
          <w:rFonts w:ascii="Arial" w:hAnsi="Arial" w:cs="Arial"/>
          <w:color w:val="333333"/>
          <w:sz w:val="22"/>
          <w:szCs w:val="22"/>
        </w:rPr>
        <w:t>План:</w:t>
      </w:r>
      <w:r>
        <w:rPr>
          <w:rFonts w:ascii="Arial" w:hAnsi="Arial" w:cs="Arial"/>
          <w:color w:val="333333"/>
          <w:sz w:val="22"/>
          <w:szCs w:val="22"/>
        </w:rPr>
        <w:t xml:space="preserve"> Соблюдение обязательных требований или требований, установленных муниципальными правовыми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акткми</w:t>
      </w:r>
      <w:proofErr w:type="spellEnd"/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a4"/>
          <w:rFonts w:ascii="Arial" w:hAnsi="Arial" w:cs="Arial"/>
          <w:color w:val="333333"/>
          <w:sz w:val="22"/>
          <w:szCs w:val="22"/>
        </w:rPr>
        <w:t>Период проведения </w:t>
      </w:r>
      <w:r>
        <w:rPr>
          <w:rFonts w:ascii="Arial" w:hAnsi="Arial" w:cs="Arial"/>
          <w:color w:val="333333"/>
          <w:sz w:val="22"/>
          <w:szCs w:val="22"/>
        </w:rPr>
        <w:t>16.11.2016 - 13.12.2016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a4"/>
          <w:rFonts w:ascii="Arial" w:hAnsi="Arial" w:cs="Arial"/>
          <w:color w:val="333333"/>
          <w:sz w:val="22"/>
          <w:szCs w:val="22"/>
        </w:rPr>
        <w:t>Выявленные нарушения:</w:t>
      </w:r>
      <w:r>
        <w:rPr>
          <w:rFonts w:ascii="Arial" w:hAnsi="Arial" w:cs="Arial"/>
          <w:color w:val="333333"/>
          <w:sz w:val="22"/>
          <w:szCs w:val="22"/>
        </w:rPr>
        <w:t> Помещение КУ ВО "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Эртильский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СРЦдН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докумлектовать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нормативнымм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количеством знаков пожарной безопасности "ВЫХОД"" в соответствии с ГОСТ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12.4.026-2001 Территорию КУ ВО "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Эртильский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СРЦдН</w:t>
      </w:r>
      <w:proofErr w:type="spellEnd"/>
      <w:r>
        <w:rPr>
          <w:rFonts w:ascii="Arial" w:hAnsi="Arial" w:cs="Arial"/>
          <w:color w:val="333333"/>
          <w:sz w:val="22"/>
          <w:szCs w:val="22"/>
        </w:rPr>
        <w:t>" оборудовать пожарными водоемами (резервуарами), т.е. источниками наружного противопожарного водоснабжения для целей пожаротушения, где обеспечить расход воды на наружное пожаротушение для здания КУ ВО "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Эртильский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СРЦдН</w:t>
      </w:r>
      <w:proofErr w:type="spellEnd"/>
      <w:r>
        <w:rPr>
          <w:rFonts w:ascii="Arial" w:hAnsi="Arial" w:cs="Arial"/>
          <w:color w:val="333333"/>
          <w:sz w:val="22"/>
          <w:szCs w:val="22"/>
        </w:rPr>
        <w:t>" не менее 10 л/с</w:t>
      </w:r>
    </w:p>
    <w:p w:rsidR="00FE79C7" w:rsidRDefault="00FE79C7" w:rsidP="00FE79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a4"/>
          <w:rFonts w:ascii="Arial" w:hAnsi="Arial" w:cs="Arial"/>
          <w:color w:val="333333"/>
          <w:sz w:val="22"/>
          <w:szCs w:val="22"/>
        </w:rPr>
        <w:t>Мероприятия:</w:t>
      </w:r>
      <w:r>
        <w:rPr>
          <w:rFonts w:ascii="Arial" w:hAnsi="Arial" w:cs="Arial"/>
          <w:color w:val="333333"/>
          <w:sz w:val="22"/>
          <w:szCs w:val="22"/>
        </w:rPr>
        <w:t> Помещения доукомплектованы знаками в количестве 20 шт.</w:t>
      </w:r>
    </w:p>
    <w:p w:rsidR="000351E4" w:rsidRDefault="000351E4" w:rsidP="00FE79C7">
      <w:pPr>
        <w:jc w:val="both"/>
      </w:pPr>
    </w:p>
    <w:sectPr w:rsidR="0003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C7"/>
    <w:rsid w:val="000351E4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Масюков Игорь Васильевич</dc:creator>
  <cp:lastModifiedBy>Масюков Игорь Васильевич</cp:lastModifiedBy>
  <cp:revision>1</cp:revision>
  <dcterms:created xsi:type="dcterms:W3CDTF">2018-12-10T08:50:00Z</dcterms:created>
  <dcterms:modified xsi:type="dcterms:W3CDTF">2018-12-10T08:54:00Z</dcterms:modified>
</cp:coreProperties>
</file>